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408940</wp:posOffset>
            </wp:positionH>
            <wp:positionV relativeFrom="page">
              <wp:posOffset>433705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375285</wp:posOffset>
            </wp:positionV>
            <wp:extent cx="69951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UNITED STATES</w:t>
      </w:r>
    </w:p>
    <w:p>
      <w:pPr>
        <w:spacing w:after="0" w:line="4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57785</wp:posOffset>
            </wp:positionV>
            <wp:extent cx="2204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5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178435</wp:posOffset>
            </wp:positionV>
            <wp:extent cx="2204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4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May 7, 2026</w:t>
      </w:r>
    </w:p>
    <w:p>
      <w:pPr>
        <w:spacing w:after="0" w:line="15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5"/>
          <w:szCs w:val="35"/>
          <w:b w:val="1"/>
          <w:bCs w:val="1"/>
          <w:color w:val="auto"/>
        </w:rPr>
        <w:t>MarketWise, Inc.</w:t>
      </w:r>
    </w:p>
    <w:p>
      <w:pPr>
        <w:spacing w:after="0" w:line="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5" w:lineRule="exact"/>
        <w:rPr>
          <w:sz w:val="24"/>
          <w:szCs w:val="24"/>
          <w:color w:val="auto"/>
        </w:rPr>
      </w:pPr>
    </w:p>
    <w:tbl>
      <w:tblPr>
        <w:tblLayout w:type="fixed"/>
        <w:tblInd w:w="1100" w:type="dxa"/>
        <w:tblCellMar>
          <w:top w:w="0" w:type="dxa"/>
          <w:left w:w="0" w:type="dxa"/>
          <w:bottom w:w="0" w:type="dxa"/>
          <w:right w:w="0" w:type="dxa"/>
        </w:tblCellMar>
      </w:tblPr>
      <w:tr>
        <w:trPr>
          <w:trHeight w:val="233"/>
        </w:trPr>
        <w:tc>
          <w:tcPr>
            <w:tcW w:w="21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560" w:type="dxa"/>
            <w:vAlign w:val="bottom"/>
          </w:tcPr>
          <w:p>
            <w:pPr>
              <w:jc w:val="right"/>
              <w:ind w:right="1759"/>
              <w:spacing w:after="0"/>
              <w:rPr>
                <w:sz w:val="20"/>
                <w:szCs w:val="20"/>
                <w:color w:val="auto"/>
              </w:rPr>
            </w:pPr>
            <w:r>
              <w:rPr>
                <w:rFonts w:ascii="Times New Roman" w:cs="Times New Roman" w:eastAsia="Times New Roman" w:hAnsi="Times New Roman"/>
                <w:sz w:val="18"/>
                <w:szCs w:val="18"/>
                <w:b w:val="1"/>
                <w:bCs w:val="1"/>
                <w:color w:val="auto"/>
              </w:rPr>
              <w:t>001-39405</w:t>
            </w:r>
          </w:p>
        </w:tc>
        <w:tc>
          <w:tcPr>
            <w:tcW w:w="2580" w:type="dxa"/>
            <w:vAlign w:val="bottom"/>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87-1767914</w:t>
            </w:r>
          </w:p>
        </w:tc>
      </w:tr>
      <w:tr>
        <w:trPr>
          <w:trHeight w:val="372"/>
        </w:trPr>
        <w:tc>
          <w:tcPr>
            <w:tcW w:w="2160" w:type="dxa"/>
            <w:vAlign w:val="bottom"/>
          </w:tcPr>
          <w:p>
            <w:pPr>
              <w:jc w:val="center"/>
              <w:ind w:right="581"/>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4560" w:type="dxa"/>
            <w:vAlign w:val="bottom"/>
          </w:tcPr>
          <w:p>
            <w:pPr>
              <w:jc w:val="center"/>
              <w:ind w:left="39"/>
              <w:spacing w:after="0"/>
              <w:rPr>
                <w:sz w:val="20"/>
                <w:szCs w:val="20"/>
                <w:color w:val="auto"/>
              </w:rPr>
            </w:pPr>
            <w:r>
              <w:rPr>
                <w:rFonts w:ascii="Times New Roman" w:cs="Times New Roman" w:eastAsia="Times New Roman" w:hAnsi="Times New Roman"/>
                <w:sz w:val="14"/>
                <w:szCs w:val="14"/>
                <w:color w:val="auto"/>
              </w:rPr>
              <w:t>(Commission File Number)</w:t>
            </w:r>
          </w:p>
        </w:tc>
        <w:tc>
          <w:tcPr>
            <w:tcW w:w="25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31"/>
        </w:trPr>
        <w:tc>
          <w:tcPr>
            <w:tcW w:w="2160" w:type="dxa"/>
            <w:vAlign w:val="bottom"/>
          </w:tcPr>
          <w:p>
            <w:pPr>
              <w:jc w:val="center"/>
              <w:ind w:right="601"/>
              <w:spacing w:after="0"/>
              <w:rPr>
                <w:sz w:val="20"/>
                <w:szCs w:val="20"/>
                <w:color w:val="auto"/>
              </w:rPr>
            </w:pPr>
            <w:r>
              <w:rPr>
                <w:rFonts w:ascii="Times New Roman" w:cs="Times New Roman" w:eastAsia="Times New Roman" w:hAnsi="Times New Roman"/>
                <w:sz w:val="14"/>
                <w:szCs w:val="14"/>
                <w:color w:val="auto"/>
              </w:rPr>
              <w:t>of incorporation)</w:t>
            </w:r>
          </w:p>
        </w:tc>
        <w:tc>
          <w:tcPr>
            <w:tcW w:w="4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89"/>
        </w:trPr>
        <w:tc>
          <w:tcPr>
            <w:tcW w:w="2160" w:type="dxa"/>
            <w:vAlign w:val="bottom"/>
          </w:tcPr>
          <w:p>
            <w:pPr>
              <w:spacing w:after="0"/>
              <w:rPr>
                <w:sz w:val="24"/>
                <w:szCs w:val="24"/>
                <w:color w:val="auto"/>
              </w:rPr>
            </w:pPr>
          </w:p>
        </w:tc>
        <w:tc>
          <w:tcPr>
            <w:tcW w:w="4560" w:type="dxa"/>
            <w:vAlign w:val="bottom"/>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7"/>
              </w:rPr>
              <w:t>1125 N. Charles St.</w:t>
            </w:r>
          </w:p>
        </w:tc>
        <w:tc>
          <w:tcPr>
            <w:tcW w:w="2580" w:type="dxa"/>
            <w:vAlign w:val="bottom"/>
          </w:tcPr>
          <w:p>
            <w:pPr>
              <w:spacing w:after="0"/>
              <w:rPr>
                <w:sz w:val="24"/>
                <w:szCs w:val="24"/>
                <w:color w:val="auto"/>
              </w:rPr>
            </w:pPr>
          </w:p>
        </w:tc>
      </w:tr>
      <w:tr>
        <w:trPr>
          <w:trHeight w:val="424"/>
        </w:trPr>
        <w:tc>
          <w:tcPr>
            <w:tcW w:w="21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Baltimore,</w:t>
            </w:r>
          </w:p>
        </w:tc>
        <w:tc>
          <w:tcPr>
            <w:tcW w:w="45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580" w:type="dxa"/>
            <w:vAlign w:val="bottom"/>
          </w:tcPr>
          <w:p>
            <w:pPr>
              <w:jc w:val="right"/>
              <w:ind w:right="738"/>
              <w:spacing w:after="0"/>
              <w:rPr>
                <w:sz w:val="20"/>
                <w:szCs w:val="20"/>
                <w:color w:val="auto"/>
              </w:rPr>
            </w:pPr>
            <w:r>
              <w:rPr>
                <w:rFonts w:ascii="Times New Roman" w:cs="Times New Roman" w:eastAsia="Times New Roman" w:hAnsi="Times New Roman"/>
                <w:sz w:val="18"/>
                <w:szCs w:val="18"/>
                <w:b w:val="1"/>
                <w:bCs w:val="1"/>
                <w:color w:val="auto"/>
              </w:rPr>
              <w:t>21201</w:t>
            </w:r>
          </w:p>
        </w:tc>
      </w:tr>
      <w:tr>
        <w:trPr>
          <w:trHeight w:val="372"/>
        </w:trPr>
        <w:tc>
          <w:tcPr>
            <w:tcW w:w="2160" w:type="dxa"/>
            <w:vAlign w:val="bottom"/>
          </w:tcPr>
          <w:p>
            <w:pPr>
              <w:spacing w:after="0"/>
              <w:rPr>
                <w:sz w:val="24"/>
                <w:szCs w:val="24"/>
                <w:color w:val="auto"/>
              </w:rPr>
            </w:pPr>
          </w:p>
        </w:tc>
        <w:tc>
          <w:tcPr>
            <w:tcW w:w="4560" w:type="dxa"/>
            <w:vAlign w:val="bottom"/>
          </w:tcPr>
          <w:p>
            <w:pPr>
              <w:jc w:val="center"/>
              <w:ind w:left="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2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2376170</wp:posOffset>
            </wp:positionH>
            <wp:positionV relativeFrom="paragraph">
              <wp:posOffset>234315</wp:posOffset>
            </wp:positionV>
            <wp:extent cx="2381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(888) 261-2693</w:t>
      </w:r>
    </w:p>
    <w:p>
      <w:pPr>
        <w:spacing w:after="0" w:line="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61595</wp:posOffset>
            </wp:positionV>
            <wp:extent cx="2389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9505" cy="8255"/>
                    </a:xfrm>
                    <a:prstGeom prst="rect">
                      <a:avLst/>
                    </a:prstGeom>
                    <a:noFill/>
                  </pic:spPr>
                </pic:pic>
              </a:graphicData>
            </a:graphic>
          </wp:anchor>
        </w:drawing>
      </w:r>
    </w:p>
    <w:p>
      <w:pPr>
        <w:spacing w:after="0" w:line="3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N/A</w:t>
      </w:r>
    </w:p>
    <w:p>
      <w:pPr>
        <w:spacing w:after="0" w:line="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61595</wp:posOffset>
            </wp:positionV>
            <wp:extent cx="2389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9505" cy="8255"/>
                    </a:xfrm>
                    <a:prstGeom prst="rect">
                      <a:avLst/>
                    </a:prstGeom>
                    <a:noFill/>
                  </pic:spPr>
                </pic:pic>
              </a:graphicData>
            </a:graphic>
          </wp:anchor>
        </w:drawing>
      </w:r>
    </w:p>
    <w:p>
      <w:pPr>
        <w:spacing w:after="0" w:line="311" w:lineRule="exact"/>
        <w:rPr>
          <w:sz w:val="24"/>
          <w:szCs w:val="24"/>
          <w:color w:val="auto"/>
        </w:rPr>
      </w:pPr>
    </w:p>
    <w:p>
      <w:pPr>
        <w:jc w:val="center"/>
        <w:ind w:right="8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50" w:lineRule="exact"/>
        <w:rPr>
          <w:sz w:val="24"/>
          <w:szCs w:val="24"/>
          <w:color w:val="auto"/>
        </w:rPr>
      </w:pPr>
    </w:p>
    <w:p>
      <w:pPr>
        <w:ind w:left="720" w:hanging="37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38" w:lineRule="exact"/>
        <w:rPr>
          <w:rFonts w:ascii="MS PGothic" w:cs="MS PGothic" w:eastAsia="MS PGothic" w:hAnsi="MS PGothic"/>
          <w:sz w:val="18"/>
          <w:szCs w:val="18"/>
          <w:color w:val="auto"/>
        </w:rPr>
      </w:pPr>
    </w:p>
    <w:p>
      <w:pPr>
        <w:ind w:left="720" w:hanging="37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18" w:lineRule="exact"/>
        <w:rPr>
          <w:rFonts w:ascii="MS PGothic" w:cs="MS PGothic" w:eastAsia="MS PGothic" w:hAnsi="MS PGothic"/>
          <w:sz w:val="18"/>
          <w:szCs w:val="18"/>
          <w:color w:val="auto"/>
        </w:rPr>
      </w:pPr>
    </w:p>
    <w:p>
      <w:pPr>
        <w:ind w:left="720" w:hanging="37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18" w:lineRule="exact"/>
        <w:rPr>
          <w:rFonts w:ascii="MS PGothic" w:cs="MS PGothic" w:eastAsia="MS PGothic" w:hAnsi="MS PGothic"/>
          <w:sz w:val="18"/>
          <w:szCs w:val="18"/>
          <w:color w:val="auto"/>
        </w:rPr>
      </w:pPr>
    </w:p>
    <w:p>
      <w:pPr>
        <w:ind w:left="720" w:hanging="37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8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4" w:lineRule="exact"/>
        <w:rPr>
          <w:sz w:val="24"/>
          <w:szCs w:val="24"/>
          <w:color w:val="auto"/>
        </w:rPr>
      </w:pPr>
    </w:p>
    <w:tbl>
      <w:tblPr>
        <w:tblLayout w:type="fixed"/>
        <w:tblInd w:w="320" w:type="dxa"/>
        <w:tblCellMar>
          <w:top w:w="0" w:type="dxa"/>
          <w:left w:w="0" w:type="dxa"/>
          <w:bottom w:w="0" w:type="dxa"/>
          <w:right w:w="0" w:type="dxa"/>
        </w:tblCellMar>
      </w:tblPr>
      <w:tr>
        <w:trPr>
          <w:trHeight w:val="232"/>
        </w:trPr>
        <w:tc>
          <w:tcPr>
            <w:tcW w:w="4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94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7"/>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 A common stock, $0.0001 par value per share</w:t>
            </w:r>
          </w:p>
        </w:tc>
        <w:tc>
          <w:tcPr>
            <w:tcW w:w="8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MKTW</w:t>
            </w:r>
          </w:p>
        </w:tc>
        <w:tc>
          <w:tcPr>
            <w:tcW w:w="100" w:type="dxa"/>
            <w:vAlign w:val="bottom"/>
          </w:tcPr>
          <w:p>
            <w:pPr>
              <w:spacing w:after="0"/>
              <w:rPr>
                <w:sz w:val="19"/>
                <w:szCs w:val="19"/>
                <w:color w:val="auto"/>
              </w:rPr>
            </w:pPr>
          </w:p>
        </w:tc>
        <w:tc>
          <w:tcPr>
            <w:tcW w:w="3940" w:type="dxa"/>
            <w:vAlign w:val="bottom"/>
            <w:tcBorders>
              <w:top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bl>
    <w:p>
      <w:pPr>
        <w:spacing w:after="0" w:line="225" w:lineRule="exact"/>
        <w:rPr>
          <w:sz w:val="24"/>
          <w:szCs w:val="24"/>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3"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752475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134620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100965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340"/>
          </w:cols>
          <w:pgMar w:left="320" w:top="91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On May 7, 2026, MarketWise, Inc. (the “Company”) issued an earnings press release announcing its financial results for the first quarter ended March 31, 2026. A copy of the earnings press release is furnished as Exhibit 99.1 to this Current Report on Form 8-K and is herein incorporated by reference.</w:t>
      </w:r>
    </w:p>
    <w:p>
      <w:pPr>
        <w:spacing w:after="0" w:line="110" w:lineRule="exact"/>
        <w:rPr>
          <w:sz w:val="20"/>
          <w:szCs w:val="20"/>
          <w:color w:val="auto"/>
        </w:rPr>
      </w:pPr>
    </w:p>
    <w:p>
      <w:pPr>
        <w:jc w:val="both"/>
        <w:ind w:right="600" w:firstLine="318"/>
        <w:spacing w:after="0" w:line="282" w:lineRule="auto"/>
        <w:rPr>
          <w:sz w:val="20"/>
          <w:szCs w:val="20"/>
          <w:color w:val="auto"/>
        </w:rPr>
      </w:pPr>
      <w:r>
        <w:rPr>
          <w:rFonts w:ascii="Times New Roman" w:cs="Times New Roman" w:eastAsia="Times New Roman" w:hAnsi="Times New Roman"/>
          <w:sz w:val="17"/>
          <w:szCs w:val="17"/>
          <w:color w:val="auto"/>
        </w:rPr>
        <w:t>The foregoing information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except as expressly set forth by specific reference in such filing.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66"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On May 7, 2026, the Company announced that the Board of Directors reauthorized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next 12 months but the program may be modified, suspended, or terminated at any time. The share repurchase program does not obligate the Company to repurchase any dollar amount or number of shares.</w:t>
      </w:r>
    </w:p>
    <w:p>
      <w:pPr>
        <w:spacing w:after="0" w:line="132" w:lineRule="exact"/>
        <w:rPr>
          <w:sz w:val="20"/>
          <w:szCs w:val="20"/>
          <w:color w:val="auto"/>
        </w:rPr>
      </w:pPr>
    </w:p>
    <w:p>
      <w:pPr>
        <w:jc w:val="both"/>
        <w:ind w:right="540" w:firstLine="318"/>
        <w:spacing w:after="0" w:line="259" w:lineRule="auto"/>
        <w:rPr>
          <w:sz w:val="20"/>
          <w:szCs w:val="20"/>
          <w:color w:val="auto"/>
        </w:rPr>
      </w:pPr>
      <w:r>
        <w:rPr>
          <w:rFonts w:ascii="Times New Roman" w:cs="Times New Roman" w:eastAsia="Times New Roman" w:hAnsi="Times New Roman"/>
          <w:sz w:val="18"/>
          <w:szCs w:val="18"/>
          <w:color w:val="auto"/>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unitholders of MarketWise, LLC.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5"/>
              </w:rPr>
              <w:t>Exhibit No.</w:t>
            </w: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05"/>
        </w:trPr>
        <w:tc>
          <w:tcPr>
            <w:tcW w:w="8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17"/>
                <w:szCs w:val="17"/>
                <w:color w:val="auto"/>
              </w:rPr>
            </w:pPr>
          </w:p>
        </w:tc>
        <w:tc>
          <w:tcPr>
            <w:tcW w:w="42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MarketWise, Inc. earnings press release, dated May 7, 2026</w:t>
            </w:r>
          </w:p>
        </w:tc>
        <w:tc>
          <w:tcPr>
            <w:tcW w:w="5600" w:type="dxa"/>
            <w:vAlign w:val="bottom"/>
          </w:tcPr>
          <w:p>
            <w:pPr>
              <w:spacing w:after="0"/>
              <w:rPr>
                <w:sz w:val="17"/>
                <w:szCs w:val="17"/>
                <w:color w:val="auto"/>
              </w:rPr>
            </w:pPr>
          </w:p>
        </w:tc>
      </w:tr>
      <w:tr>
        <w:trPr>
          <w:trHeight w:val="498"/>
        </w:trPr>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82"/>
        </w:trPr>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364" w:lineRule="exact"/>
        <w:rPr>
          <w:sz w:val="20"/>
          <w:szCs w:val="20"/>
          <w:color w:val="auto"/>
        </w:rPr>
      </w:pPr>
    </w:p>
    <w:p>
      <w:pPr>
        <w:ind w:right="94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3380" w:type="dxa"/>
            <w:vAlign w:val="bottom"/>
          </w:tcPr>
          <w:p>
            <w:pPr>
              <w:spacing w:after="0"/>
              <w:rPr>
                <w:sz w:val="22"/>
                <w:szCs w:val="22"/>
                <w:color w:val="auto"/>
              </w:rPr>
            </w:pP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9"/>
                <w:szCs w:val="19"/>
                <w:b w:val="1"/>
                <w:bCs w:val="1"/>
                <w:color w:val="auto"/>
              </w:rPr>
              <w:t>MarketWise, Inc.</w:t>
            </w:r>
          </w:p>
        </w:tc>
      </w:tr>
      <w:tr>
        <w:trPr>
          <w:trHeight w:val="55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Erik Mickels</w:t>
            </w:r>
          </w:p>
        </w:tc>
      </w:tr>
      <w:tr>
        <w:trPr>
          <w:trHeight w:val="246"/>
        </w:trPr>
        <w:tc>
          <w:tcPr>
            <w:tcW w:w="3380" w:type="dxa"/>
            <w:vAlign w:val="bottom"/>
          </w:tcPr>
          <w:p>
            <w:pPr>
              <w:spacing w:after="0"/>
              <w:rPr>
                <w:sz w:val="21"/>
                <w:szCs w:val="21"/>
                <w:color w:val="auto"/>
              </w:rPr>
            </w:pP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Erik Mickels</w:t>
            </w:r>
          </w:p>
        </w:tc>
      </w:tr>
      <w:tr>
        <w:trPr>
          <w:trHeight w:val="265"/>
        </w:trPr>
        <w:tc>
          <w:tcPr>
            <w:tcW w:w="3380" w:type="dxa"/>
            <w:vAlign w:val="bottom"/>
          </w:tcPr>
          <w:p>
            <w:pPr>
              <w:spacing w:after="0"/>
              <w:rPr>
                <w:sz w:val="23"/>
                <w:szCs w:val="23"/>
                <w:color w:val="auto"/>
              </w:rPr>
            </w:pP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bl>
    <w:p>
      <w:pPr>
        <w:sectPr>
          <w:pgSz w:w="11900" w:h="16838" w:orient="portrait"/>
          <w:cols w:equalWidth="0" w:num="1">
            <w:col w:w="11340"/>
          </w:cols>
          <w:pgMar w:left="320" w:top="1391" w:right="239" w:bottom="1440" w:gutter="0" w:footer="0" w:header="0"/>
        </w:sectPr>
      </w:pPr>
    </w:p>
    <w:bookmarkStart w:id="3" w:name="page4"/>
    <w:bookmarkEnd w:id="3"/>
    <w:p>
      <w:pPr>
        <w:spacing w:after="0" w:line="292"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28"/>
          <w:szCs w:val="28"/>
          <w:b w:val="1"/>
          <w:bCs w:val="1"/>
          <w:color w:val="auto"/>
        </w:rPr>
        <w:t>MarketWise Reports Net Revenue of $77.0 Million and Net Loss of $0.6 Million for First Quarter 2026; Q1 Billings Increase 15% YoY; Announced Quarterly Regular and Special Dividends totaling $0.45 per Class A share; Affirms FY 2026 Guidance of Billings of $300 Million and CFFO of $50 Million; Board Authorizes New $50M Share Buyback Program</w:t>
      </w:r>
    </w:p>
    <w:p>
      <w:pPr>
        <w:spacing w:after="0" w:line="361"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color w:val="auto"/>
        </w:rPr>
        <w:t>BALTIMORE, MD -- (GLOBE NEWSWIRE)—MarketWise, Inc. (NASDAQ: MKTW) (“MarketWise” or the “Company”), a leading multi-brand digital subscription services platform that provides premium financial research, software, education, and tools for self-directed investors, today reported financial results for first quarter 2026.</w:t>
      </w:r>
      <w:r>
        <w:rPr>
          <w:rFonts w:ascii="Times New Roman" w:cs="Times New Roman" w:eastAsia="Times New Roman" w:hAnsi="Times New Roman"/>
          <w:sz w:val="22"/>
          <w:szCs w:val="22"/>
          <w:color w:val="auto"/>
          <w:vertAlign w:val="superscript"/>
        </w:rPr>
        <w:t>(1)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r>
        <w:rPr>
          <w:rFonts w:ascii="Times New Roman" w:cs="Times New Roman" w:eastAsia="Times New Roman" w:hAnsi="Times New Roman"/>
          <w:sz w:val="22"/>
          <w:szCs w:val="22"/>
          <w:color w:val="auto"/>
          <w:vertAlign w:val="superscript"/>
        </w:rPr>
        <w:t>(1)</w:t>
      </w:r>
    </w:p>
    <w:p>
      <w:pPr>
        <w:spacing w:after="0" w:line="121" w:lineRule="exact"/>
        <w:rPr>
          <w:sz w:val="20"/>
          <w:szCs w:val="20"/>
          <w:color w:val="auto"/>
        </w:rPr>
      </w:pPr>
    </w:p>
    <w:p>
      <w:pPr>
        <w:ind w:left="640" w:right="10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Subscribers returned to growth in first quarter 2026 following stabilization in the second half of 2025, reflecting improved customer acquisition and retention.</w:t>
      </w:r>
    </w:p>
    <w:p>
      <w:pPr>
        <w:spacing w:after="0" w:line="110" w:lineRule="exact"/>
        <w:rPr>
          <w:rFonts w:ascii="Times New Roman" w:cs="Times New Roman" w:eastAsia="Times New Roman" w:hAnsi="Times New Roman"/>
          <w:sz w:val="18"/>
          <w:szCs w:val="18"/>
          <w:color w:val="auto"/>
        </w:rPr>
      </w:pPr>
    </w:p>
    <w:p>
      <w:pPr>
        <w:ind w:left="640" w:right="14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Subscribers were 381 thousand as of March 31, 2026, compared with 374 thousand as of December 31, 2025. Active Free subscribers were 2.0 million as of March 31, 2026.</w:t>
      </w:r>
    </w:p>
    <w:p>
      <w:pPr>
        <w:spacing w:after="0" w:line="10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was $77.0 million in the first quarter 2026</w:t>
      </w:r>
      <w:r>
        <w:rPr>
          <w:rFonts w:ascii="Times New Roman" w:cs="Times New Roman" w:eastAsia="Times New Roman" w:hAnsi="Times New Roman"/>
          <w:sz w:val="22"/>
          <w:szCs w:val="22"/>
          <w:color w:val="auto"/>
          <w:vertAlign w:val="superscript"/>
        </w:rPr>
        <w:t>(2)</w:t>
      </w:r>
    </w:p>
    <w:p>
      <w:pPr>
        <w:spacing w:after="0" w:line="121" w:lineRule="exact"/>
        <w:rPr>
          <w:sz w:val="20"/>
          <w:szCs w:val="20"/>
          <w:color w:val="auto"/>
        </w:rPr>
      </w:pPr>
    </w:p>
    <w:p>
      <w:pPr>
        <w:ind w:left="640" w:right="500" w:hanging="316"/>
        <w:spacing w:after="0" w:line="274" w:lineRule="auto"/>
        <w:tabs>
          <w:tab w:leader="none" w:pos="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for first quarter 2026 totaled $81.4 million, representing a 15% year-over-year increase compared to first quarter 2025, and the highest quarterly Billings since 2023.</w:t>
      </w:r>
    </w:p>
    <w:p>
      <w:pPr>
        <w:spacing w:after="0" w:line="110"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$0.6 million in first quarter 2026 due in large part to the difference timing of deferred revenue recognition and recognition of sales and marketing costs.</w:t>
      </w:r>
    </w:p>
    <w:p>
      <w:pPr>
        <w:spacing w:after="0" w:line="110"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(“CFFO”) was $(2.1) million in first quarter 2026, a decrease of $3.8 million compared to first quarter 2025, driven primarily by increased cash basis investments in marketing and customer acquisition of $15 million in first quarter 2026.</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Affirmed FY 2026 guidance for Billings ($300 million) and Cash from Operating Activities ($50 million).</w:t>
      </w:r>
    </w:p>
    <w:p>
      <w:pPr>
        <w:spacing w:after="0" w:line="164"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remained strong at $52.7 million as of March 31, 2026, compared to $70 million as of December 31, 2025, and $51 million as of September 30, 2025. Generally, cash expenditures are highest in the first quarter of each year due to various items including the timing of marketing efforts, tax distributions and working capital items.</w:t>
      </w:r>
    </w:p>
    <w:p>
      <w:pPr>
        <w:spacing w:after="0" w:line="12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quarterly regular and special dividends totaling $0.45 per share of Class A common stock. No change to full year dividend target of $1.80 per share of Class A common stock.</w:t>
      </w:r>
    </w:p>
    <w:p>
      <w:pPr>
        <w:spacing w:after="0" w:line="110"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as previously disclosed, as part of a settlement of a legal matter, we repurchased over 3% of our total shares outstanding for $12.2 million and at prices we believe represent a discount to intrinsic value.</w:t>
      </w:r>
    </w:p>
    <w:p>
      <w:pPr>
        <w:spacing w:after="0" w:line="106" w:lineRule="exact"/>
        <w:rPr>
          <w:rFonts w:ascii="Times New Roman" w:cs="Times New Roman" w:eastAsia="Times New Roman" w:hAnsi="Times New Roman"/>
          <w:sz w:val="18"/>
          <w:szCs w:val="18"/>
          <w:color w:val="auto"/>
        </w:rPr>
      </w:pPr>
    </w:p>
    <w:p>
      <w:pPr>
        <w:ind w:left="300" w:hanging="294"/>
        <w:spacing w:after="0"/>
        <w:tabs>
          <w:tab w:leader="none" w:pos="3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quarterly results reported herein are unaudited.</w:t>
      </w:r>
    </w:p>
    <w:p>
      <w:pPr>
        <w:spacing w:after="0" w:line="22" w:lineRule="exact"/>
        <w:rPr>
          <w:rFonts w:ascii="Times New Roman" w:cs="Times New Roman" w:eastAsia="Times New Roman" w:hAnsi="Times New Roman"/>
          <w:sz w:val="14"/>
          <w:szCs w:val="14"/>
          <w:color w:val="auto"/>
        </w:rPr>
      </w:pPr>
    </w:p>
    <w:p>
      <w:pPr>
        <w:ind w:left="320" w:right="80" w:hanging="314"/>
        <w:spacing w:after="0" w:line="253" w:lineRule="auto"/>
        <w:tabs>
          <w:tab w:leader="none" w:pos="3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 (a GAAP measure) represents Billings that are recognized over the term of the subscription, which can be multiple years. Billings are amounts invoiced to customers in the period and is thus indicative of the current operating environment and demand for our products.</w:t>
      </w:r>
    </w:p>
    <w:p>
      <w:pPr>
        <w:spacing w:after="0" w:line="22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"First quarter Billings were the strongest since 2023 and represented a 15% year-over-year increase compared to first quarter 2025, which enabled us to accelerate investments in customer acquisition in the quarter," said Dr. David Eifrig, Chief Executive Officer. Specifically, we increased marketing spend by nearly $15 million, which drove meaningful new subscriber additions and reversed several periods of decline in our Paid Subscriber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Eifrig continued, "First quarter cash flow was impacted by this increased investment in customer acquisition, compounded by the typical seasonal pattern of Q1. This opportunistic marketing investment has continued into the second quarter, as we now shift meaningfully toward cash generation for the balance of the year. This is the toggle our business model is designed to execute — moving between growth and margin in response to market conditions and opportunity. Our Q1 results validate that we can do so with discipline."</w:t>
      </w:r>
    </w:p>
    <w:p>
      <w:pPr>
        <w:spacing w:after="0" w:line="127"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"On capital allocation, we declared this week a dividend of $0.45 per share to Class A shareholders. And, as previously disclosed, in April we repurchased over 3% of our total shares outstanding at prices we believe represent a discount to intrinsic value. We take our responsibility as stewards of shareholder capital seriously, and every allocation decision is evaluated with care."</w:t>
      </w:r>
    </w:p>
    <w:p>
      <w:pPr>
        <w:spacing w:after="0" w:line="1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"Lastly, and perhaps most importantly, we recently completed a review of our long-term strategic plan with our Board of Directors. I am more excited than ever about our plans to provide high-quality products for our customers while delivering strong top-line growth coupled with margin expansion over time. Achieving our ambitious plans will require innovation, discipline, and operational excellence. We have the right strategy, the right brands, and the right team. I look forward to providing updates as we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summary results and selected financial data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93"/>
        </w:trPr>
        <w:tc>
          <w:tcPr>
            <w:tcW w:w="3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1040" w:type="dxa"/>
            <w:vAlign w:val="bottom"/>
            <w:tcBorders>
              <w:top w:val="single" w:sz="8" w:color="auto"/>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580" w:type="dxa"/>
            <w:vAlign w:val="bottom"/>
            <w:gridSpan w:val="3"/>
          </w:tcPr>
          <w:p>
            <w:pPr>
              <w:ind w:left="80"/>
              <w:spacing w:after="0" w:line="128" w:lineRule="exact"/>
              <w:rPr>
                <w:sz w:val="20"/>
                <w:szCs w:val="20"/>
                <w:color w:val="auto"/>
              </w:rPr>
            </w:pPr>
            <w:r>
              <w:rPr>
                <w:rFonts w:ascii="Times New Roman" w:cs="Times New Roman" w:eastAsia="Times New Roman" w:hAnsi="Times New Roman"/>
                <w:sz w:val="14"/>
                <w:szCs w:val="14"/>
                <w:b w:val="1"/>
                <w:bCs w:val="1"/>
                <w:i w:val="1"/>
                <w:iCs w:val="1"/>
                <w:color w:val="auto"/>
              </w:rPr>
              <w:t>(Unaudited, in millions, except per share data or</w:t>
            </w: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1Q 2025</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2Q 2025</w:t>
            </w:r>
          </w:p>
        </w:tc>
        <w:tc>
          <w:tcPr>
            <w:tcW w:w="22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3Q 2025</w:t>
            </w:r>
          </w:p>
        </w:tc>
        <w:tc>
          <w:tcPr>
            <w:tcW w:w="220" w:type="dxa"/>
            <w:vAlign w:val="bottom"/>
          </w:tcPr>
          <w:p>
            <w:pPr>
              <w:spacing w:after="0"/>
              <w:rPr>
                <w:sz w:val="11"/>
                <w:szCs w:val="11"/>
                <w:color w:val="auto"/>
              </w:rPr>
            </w:pPr>
          </w:p>
        </w:tc>
        <w:tc>
          <w:tcPr>
            <w:tcW w:w="114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4Q 2025</w:t>
            </w:r>
          </w:p>
        </w:tc>
        <w:tc>
          <w:tcPr>
            <w:tcW w:w="200" w:type="dxa"/>
            <w:vAlign w:val="bottom"/>
          </w:tcPr>
          <w:p>
            <w:pPr>
              <w:spacing w:after="0"/>
              <w:rPr>
                <w:sz w:val="11"/>
                <w:szCs w:val="11"/>
                <w:color w:val="auto"/>
              </w:rPr>
            </w:pPr>
          </w:p>
        </w:tc>
        <w:tc>
          <w:tcPr>
            <w:tcW w:w="104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1Q 2026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6"/>
              </w:rPr>
              <w:t>TTM 1Q 2026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otherwise noted)</w:t>
            </w: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 Subscribers (in thousands)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Total net revenue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 xml:space="preserve">New "Marketing" Billings </w:t>
            </w:r>
            <w:r>
              <w:rPr>
                <w:rFonts w:ascii="Times New Roman" w:cs="Times New Roman" w:eastAsia="Times New Roman" w:hAnsi="Times New Roman"/>
                <w:sz w:val="22"/>
                <w:szCs w:val="22"/>
                <w:color w:val="auto"/>
                <w:vertAlign w:val="superscript"/>
              </w:rPr>
              <w:t>(1)</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40"/>
              <w:spacing w:after="0" w:line="193" w:lineRule="exact"/>
              <w:rPr>
                <w:sz w:val="20"/>
                <w:szCs w:val="20"/>
                <w:color w:val="auto"/>
              </w:rPr>
            </w:pPr>
            <w:r>
              <w:rPr>
                <w:rFonts w:ascii="Times New Roman" w:cs="Times New Roman" w:eastAsia="Times New Roman" w:hAnsi="Times New Roman"/>
                <w:sz w:val="18"/>
                <w:szCs w:val="18"/>
                <w:color w:val="auto"/>
              </w:rPr>
              <w:t xml:space="preserve">Net "Renewal" Billings </w:t>
            </w:r>
            <w:r>
              <w:rPr>
                <w:rFonts w:ascii="Times New Roman" w:cs="Times New Roman" w:eastAsia="Times New Roman" w:hAnsi="Times New Roman"/>
                <w:sz w:val="22"/>
                <w:szCs w:val="22"/>
                <w:color w:val="auto"/>
                <w:vertAlign w:val="superscript"/>
              </w:rPr>
              <w:t>(2)</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 xml:space="preserve">Other Billings </w:t>
            </w:r>
            <w:r>
              <w:rPr>
                <w:rFonts w:ascii="Times New Roman" w:cs="Times New Roman" w:eastAsia="Times New Roman" w:hAnsi="Times New Roman"/>
                <w:sz w:val="22"/>
                <w:szCs w:val="22"/>
                <w:color w:val="auto"/>
                <w:vertAlign w:val="superscript"/>
              </w:rPr>
              <w:t>(3)</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Total Billings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ARPU (in dollars)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 xml:space="preserve">CFFO </w:t>
            </w:r>
            <w:r>
              <w:rPr>
                <w:rFonts w:ascii="Times New Roman" w:cs="Times New Roman" w:eastAsia="Times New Roman" w:hAnsi="Times New Roman"/>
                <w:sz w:val="22"/>
                <w:szCs w:val="22"/>
                <w:color w:val="auto"/>
                <w:vertAlign w:val="superscript"/>
              </w:rPr>
              <w:t>(4)</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Adjusted CFFO</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Free Cash Flow</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80" w:type="dxa"/>
            <w:vAlign w:val="bottom"/>
            <w:gridSpan w:val="3"/>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color w:val="auto"/>
              </w:rPr>
              <w:t>Earnings per share - basic</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Earnings per share - diluted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580" w:type="dxa"/>
            <w:vAlign w:val="bottom"/>
            <w:gridSpan w:val="3"/>
          </w:tcPr>
          <w:p>
            <w:pPr>
              <w:ind w:left="40"/>
              <w:spacing w:after="0" w:line="193" w:lineRule="exact"/>
              <w:rPr>
                <w:sz w:val="20"/>
                <w:szCs w:val="20"/>
                <w:color w:val="auto"/>
              </w:rPr>
            </w:pPr>
            <w:r>
              <w:rPr>
                <w:rFonts w:ascii="Times New Roman" w:cs="Times New Roman" w:eastAsia="Times New Roman" w:hAnsi="Times New Roman"/>
                <w:sz w:val="18"/>
                <w:szCs w:val="18"/>
                <w:color w:val="auto"/>
              </w:rPr>
              <w:t xml:space="preserve">Regular dividends per Class A share </w:t>
            </w:r>
            <w:r>
              <w:rPr>
                <w:rFonts w:ascii="Times New Roman" w:cs="Times New Roman" w:eastAsia="Times New Roman" w:hAnsi="Times New Roman"/>
                <w:sz w:val="22"/>
                <w:szCs w:val="22"/>
                <w:color w:val="auto"/>
                <w:vertAlign w:val="superscript"/>
              </w:rPr>
              <w:t>(5)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gridSpan w:val="3"/>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 xml:space="preserve">Special dividends per Class A share </w:t>
            </w:r>
            <w:r>
              <w:rPr>
                <w:rFonts w:ascii="Times New Roman" w:cs="Times New Roman" w:eastAsia="Times New Roman" w:hAnsi="Times New Roman"/>
                <w:sz w:val="22"/>
                <w:szCs w:val="22"/>
                <w:color w:val="auto"/>
                <w:vertAlign w:val="superscript"/>
              </w:rPr>
              <w:t>(5)</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36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6"/>
                <w:szCs w:val="16"/>
                <w:color w:val="auto"/>
              </w:rPr>
              <w:t xml:space="preserve">Total dividends per Class A share </w:t>
            </w:r>
            <w:r>
              <w:rPr>
                <w:rFonts w:ascii="Times New Roman" w:cs="Times New Roman" w:eastAsia="Times New Roman" w:hAnsi="Times New Roman"/>
                <w:sz w:val="20"/>
                <w:szCs w:val="20"/>
                <w:color w:val="auto"/>
                <w:vertAlign w:val="superscript"/>
              </w:rPr>
              <w:t>(5)</w:t>
            </w: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right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right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right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3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Class A Shares </w:t>
            </w:r>
            <w:r>
              <w:rPr>
                <w:rFonts w:ascii="Times New Roman" w:cs="Times New Roman" w:eastAsia="Times New Roman" w:hAnsi="Times New Roman"/>
                <w:sz w:val="22"/>
                <w:szCs w:val="22"/>
                <w:color w:val="auto"/>
                <w:vertAlign w:val="superscript"/>
              </w:rPr>
              <w:t>(6)</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Class B Shares </w:t>
            </w:r>
            <w:r>
              <w:rPr>
                <w:rFonts w:ascii="Times New Roman" w:cs="Times New Roman" w:eastAsia="Times New Roman" w:hAnsi="Times New Roman"/>
                <w:sz w:val="22"/>
                <w:szCs w:val="22"/>
                <w:color w:val="auto"/>
                <w:vertAlign w:val="superscript"/>
              </w:rPr>
              <w:t>(6)</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right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140" w:type="dxa"/>
            <w:vAlign w:val="bottom"/>
            <w:tcBorders>
              <w:bottom w:val="single" w:sz="8" w:color="auto"/>
              <w:right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3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Total Shares </w:t>
            </w:r>
            <w:r>
              <w:rPr>
                <w:rFonts w:ascii="Times New Roman" w:cs="Times New Roman" w:eastAsia="Times New Roman" w:hAnsi="Times New Roman"/>
                <w:sz w:val="22"/>
                <w:szCs w:val="22"/>
                <w:color w:val="auto"/>
                <w:vertAlign w:val="superscript"/>
              </w:rPr>
              <w:t>(6)</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40" w:type="dxa"/>
            <w:vAlign w:val="bottom"/>
            <w:tcBorders>
              <w:right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-5770880</wp:posOffset>
            </wp:positionV>
            <wp:extent cx="7143115" cy="8362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8362950"/>
                    </a:xfrm>
                    <a:prstGeom prst="rect">
                      <a:avLst/>
                    </a:prstGeom>
                    <a:noFill/>
                  </pic:spPr>
                </pic:pic>
              </a:graphicData>
            </a:graphic>
          </wp:anchor>
        </w:drawing>
      </w:r>
    </w:p>
    <w:p>
      <w:pPr>
        <w:ind w:left="220" w:hanging="183"/>
        <w:spacing w:after="0" w:line="205" w:lineRule="auto"/>
        <w:tabs>
          <w:tab w:leader="none" w:pos="2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billings from all new subscription sales to new and existing subscribers.</w:t>
      </w:r>
    </w:p>
    <w:p>
      <w:pPr>
        <w:spacing w:after="0" w:line="159" w:lineRule="exact"/>
        <w:rPr>
          <w:rFonts w:ascii="Times New Roman" w:cs="Times New Roman" w:eastAsia="Times New Roman" w:hAnsi="Times New Roman"/>
          <w:sz w:val="23"/>
          <w:szCs w:val="23"/>
          <w:color w:val="auto"/>
          <w:vertAlign w:val="superscript"/>
        </w:rPr>
      </w:pPr>
    </w:p>
    <w:p>
      <w:pPr>
        <w:ind w:left="220" w:hanging="183"/>
        <w:spacing w:after="0"/>
        <w:tabs>
          <w:tab w:leader="none" w:pos="2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billings attributable to renewal and maintenance fee payments. Excludes Membership sales.</w:t>
      </w:r>
    </w:p>
    <w:p>
      <w:pPr>
        <w:spacing w:after="0" w:line="159" w:lineRule="exact"/>
        <w:rPr>
          <w:rFonts w:ascii="Times New Roman" w:cs="Times New Roman" w:eastAsia="Times New Roman" w:hAnsi="Times New Roman"/>
          <w:sz w:val="23"/>
          <w:szCs w:val="23"/>
          <w:color w:val="auto"/>
          <w:vertAlign w:val="superscript"/>
        </w:rPr>
      </w:pPr>
    </w:p>
    <w:p>
      <w:pPr>
        <w:ind w:left="220" w:hanging="183"/>
        <w:spacing w:after="0"/>
        <w:tabs>
          <w:tab w:leader="none" w:pos="2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primarily billings from Revenue Share, Advertising, and Conferences.</w:t>
      </w:r>
    </w:p>
    <w:p>
      <w:pPr>
        <w:spacing w:after="0" w:line="192" w:lineRule="exact"/>
        <w:rPr>
          <w:rFonts w:ascii="Times New Roman" w:cs="Times New Roman" w:eastAsia="Times New Roman" w:hAnsi="Times New Roman"/>
          <w:sz w:val="23"/>
          <w:szCs w:val="23"/>
          <w:color w:val="auto"/>
          <w:vertAlign w:val="superscript"/>
        </w:rPr>
      </w:pPr>
    </w:p>
    <w:p>
      <w:pPr>
        <w:ind w:left="40" w:right="120" w:hanging="3"/>
        <w:spacing w:after="0" w:line="225" w:lineRule="auto"/>
        <w:tabs>
          <w:tab w:leader="none" w:pos="21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CFFO will fluctuate from quarter to quarter based on inherent variability in our business (2Q and 4Q tend to be higher; 1Q and 3Q, lower). CFFO can also be impacted by timing of product launches, marketing campaigns and discreet working capital items.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89" w:lineRule="exact"/>
        <w:rPr>
          <w:rFonts w:ascii="Times New Roman" w:cs="Times New Roman" w:eastAsia="Times New Roman" w:hAnsi="Times New Roman"/>
          <w:sz w:val="23"/>
          <w:szCs w:val="23"/>
          <w:color w:val="auto"/>
          <w:vertAlign w:val="superscript"/>
        </w:rPr>
      </w:pPr>
    </w:p>
    <w:p>
      <w:pPr>
        <w:ind w:left="40" w:right="160" w:hanging="3"/>
        <w:spacing w:after="0" w:line="225" w:lineRule="auto"/>
        <w:tabs>
          <w:tab w:leader="none" w:pos="21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Dividends prior to April 2, 2025 have been retroactively adjusted to give effect to the 1-for-20 reverse stock split. See dividend guidance in the “Full Year 2026 Targets” section below.</w:t>
      </w:r>
    </w:p>
    <w:p>
      <w:pPr>
        <w:spacing w:after="0" w:line="160" w:lineRule="exact"/>
        <w:rPr>
          <w:rFonts w:ascii="Times New Roman" w:cs="Times New Roman" w:eastAsia="Times New Roman" w:hAnsi="Times New Roman"/>
          <w:sz w:val="23"/>
          <w:szCs w:val="23"/>
          <w:color w:val="auto"/>
          <w:vertAlign w:val="superscript"/>
        </w:rPr>
      </w:pPr>
    </w:p>
    <w:p>
      <w:pPr>
        <w:ind w:left="220" w:hanging="183"/>
        <w:spacing w:after="0"/>
        <w:tabs>
          <w:tab w:leader="none" w:pos="2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Excludes Management and Sponsor Earnout Shares. Amount in the </w:t>
      </w:r>
      <w:r>
        <w:rPr>
          <w:rFonts w:ascii="Times New Roman" w:cs="Times New Roman" w:eastAsia="Times New Roman" w:hAnsi="Times New Roman"/>
          <w:sz w:val="18"/>
          <w:szCs w:val="18"/>
          <w:b w:val="1"/>
          <w:bCs w:val="1"/>
          <w:color w:val="auto"/>
        </w:rPr>
        <w:t>TTM 1Q 2026</w:t>
      </w:r>
      <w:r>
        <w:rPr>
          <w:rFonts w:ascii="Times New Roman" w:cs="Times New Roman" w:eastAsia="Times New Roman" w:hAnsi="Times New Roman"/>
          <w:sz w:val="18"/>
          <w:szCs w:val="18"/>
          <w:color w:val="auto"/>
        </w:rPr>
        <w:t xml:space="preserve"> column is the average of the last four quarters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1260"/>
          </w:cols>
          <w:pgMar w:left="320" w:top="1440" w:right="319" w:bottom="562" w:gutter="0" w:footer="0" w:header="0"/>
        </w:sectPr>
      </w:pPr>
    </w:p>
    <w:bookmarkStart w:id="6" w:name="page7"/>
    <w:bookmarkEnd w:id="6"/>
    <w:p>
      <w:pPr>
        <w:ind w:left="1004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120"/>
          </w:cols>
          <w:pgMar w:left="1440" w:top="576"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versus Billings</w:t>
      </w:r>
    </w:p>
    <w:p>
      <w:pPr>
        <w:spacing w:after="0" w:line="16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Net Revenue represents cash received by the Company for the sale of subscriptions which are then recognized as revenue for GAAP purposes over the term of the subscription, or up to 5 years. Cash received by the company is recorded as Deferred Revenue on the Balance Sheet until such amounts are recognized as Net Revenue. Given the deferred nature of revenue recognition, there can be a significant lag between when cash is received by the Company and when revenue is recognized in the Income Statement. To illustrate, Net Revenue recognized in Q1 2026 included the significant cash sales from 2021 and 2022. As such, Net Revenue may not be indicative of the current trajectory or operating environment of the Company. In contrast, Billings, represent current period cash sales by the Company which is reflective of the current, real-time operating activity of the Company. The disconnect between Net Revenue and the current trajectory of the Company can be observed in our 2026 results. Specifically, Net Revenue declined 7.8% from Q1 2025 to Q1 2026 whereas Billings, the actual cash sales of the business, increased 15.5%. We expect a similar dynamic to occur in FY 2026 where Net Revenue will decline while customer sales activity and Billings increase. Billings tend to lead Net Revenue by 12-24 months, on average, and as such we expect Net Revenue to stabilize in 2026 and return to growth in 2027.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historical relationship between Net Revenue and Billings is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5250180" cy="3129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5018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Operational and Financial Supplemental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providing the additional information below to provide further context on results and trends.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Subscriber Composition Trends</w:t>
      </w:r>
    </w:p>
    <w:p>
      <w:pPr>
        <w:spacing w:after="0" w:line="16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As of March 31, 2026, the Company had 2.3 million Active Free Subscribers and Paid Subscribers. Part of the Company’s acquisition strategy is to convert Active Free Subscribers to Paid Subscribers. As of March 31, 2026, the Company had 381 thousand Paid Subscribers, which is an increase of 2.0% compared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32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As previously disclosed, the Company’s strategy has pivoted since mid-2024 to focus on higher priced products. Thus, while Paid Subscribers have declined over the last 2-years in absolute terms, the quality and lifetime spend of the subscribers have increased.</w:t>
      </w:r>
    </w:p>
    <w:p>
      <w:pPr>
        <w:spacing w:after="0" w:line="1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illustrated in the chart below, the customer mix has steadily improved with 62% of customers as of March 31, 2026, having a lifetime spend of over $500. In contrast, the majority of customer churn is from the lower value tiers as those cohorts generally continue to decline as a percent of the total. As of March 31, 2026, however, the $500 and below cohort increased due to the successful customer acquisition efforts in the quarter. As these new customers purchase additional products, we expect lifetime spend for this cohort to increase.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positive mix shift and improvement in customer quality has contributed to the Billings and ARPU growth experienced over the last several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5250180" cy="2650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50180" cy="265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Billings</w:t>
      </w:r>
    </w:p>
    <w:p>
      <w:pPr>
        <w:spacing w:after="0" w:line="166"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7"/>
          <w:szCs w:val="17"/>
          <w:color w:val="auto"/>
        </w:rPr>
        <w:t>After the period of Billings declines from 2021 through mid-2024, the Company experienced an inflection point in 4Q 2024 with a return to sequential Billings growth. Billings have continued a steady increase with Q1 2026 Billings representing more than a 15% year over year increase compared to Q1 2025.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Q1 2026, Billings were $81.4 million compared to $70.5 million for Q1 2025.</w:t>
      </w:r>
    </w:p>
    <w:p>
      <w:pPr>
        <w:spacing w:after="0" w:line="16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Further, as illustrated in the chart below, there has been a historical correlation between our Billings and share price. This correlation, however, has decoupled in recent quarters.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focused on driving higher Billings, coupled with margin expansion, which we believe will increase intrinsic value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1132205</wp:posOffset>
            </wp:positionV>
            <wp:extent cx="5250180" cy="4888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50180" cy="488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CFFO was $(2.1) million for Q1 2026 which was a decline of $3.8 million compared to Q1 2025.</w:t>
      </w:r>
    </w:p>
    <w:p>
      <w:pPr>
        <w:spacing w:after="0" w:line="16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Based on the nature of our business, and as illustrated in the chart below, CFFO fluctuates from quarter to quarter. Specifically, Q2 and Q4 tend to have higher CFFO while Q1 and Q3 tend to have lower CFFO. The amount of CFFO in any given quarter is impacted by the timing of product launches, marketing campaigns, and discrete working capital items. This timing dynamic on CFFO was particularly acute in Q1 2026 as we opportunistically increased cash basis marketing investment by $15 million in the quarter compared to Q1 of 2025, in response to favorable market conditions. Normalized for this increased and accelerated marketing investment, Q1 2026 CFFO would have been meaningfully higher than the prior year comparable period. This opportunistic marketing investment continued into the second quarter, as we now shift toward cash generation for the balance of the year.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this variability, we believe it is useful to evaluate CFFO trends over multiple quarters, or a full year.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1384935</wp:posOffset>
            </wp:positionV>
            <wp:extent cx="5250180" cy="4492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50180" cy="4492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Capital Structure</w:t>
      </w:r>
    </w:p>
    <w:p>
      <w:pPr>
        <w:spacing w:after="0" w:line="166" w:lineRule="exact"/>
        <w:rPr>
          <w:sz w:val="20"/>
          <w:szCs w:val="20"/>
          <w:color w:val="auto"/>
        </w:rPr>
      </w:pPr>
    </w:p>
    <w:p>
      <w:pPr>
        <w:jc w:val="both"/>
        <w:ind w:right="540"/>
        <w:spacing w:after="0" w:line="259" w:lineRule="auto"/>
        <w:rPr>
          <w:sz w:val="20"/>
          <w:szCs w:val="20"/>
          <w:color w:val="auto"/>
        </w:rPr>
      </w:pPr>
      <w:r>
        <w:rPr>
          <w:rFonts w:ascii="Times New Roman" w:cs="Times New Roman" w:eastAsia="Times New Roman" w:hAnsi="Times New Roman"/>
          <w:sz w:val="18"/>
          <w:szCs w:val="18"/>
          <w:color w:val="auto"/>
        </w:rPr>
        <w:t>As of March 31, 2026, the Company holds Cash and Cash Equivalents of $52.7 million, compared to $70.1 million as of December 31, 2025 and $50.5 million as of September 30, 2025. Generally, cash expenditures are highest in the first quarter of each year due to various items including the timing of marketing efforts, tax distributions, and working capital items..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distribution payments were significant in FY 2025 due to the timing of taxable income which arose from the Billings in prior years.</w:t>
      </w:r>
    </w:p>
    <w:p>
      <w:pPr>
        <w:spacing w:after="0" w:line="1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FY 2026, we expect tax distributions to decline significantly to approximately $35 million, or nearly $15 million lower than FY 2025. Similar to the timing of tax distribution payments in FY 2025, we expect FY 2026 tax distributions to be higher in the first half of the year and lower in the second half. Due to the timing of tax distributions and the higher working capital needs in the first quarter of each year, we expect overall cash balances to decline in the first half of 2026 before increasing in the second half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2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MarketWise Inc.’s Class A common stock trades on the Nasdaq Global Market under the symbol "MKTW." As of March 31, 2026, the Company had 2,533,780 Class A common shares and 13,612,641 Class B common shares issued and outstanding, totaling 16,146,421 Class A and Class B common shares. When determining the market capitalization or equity value of the Company, we believe it is appropriate to include the total of the Class A and Class B common shares. Net Income attributable to noncontrolling interests on the Income Statement is primarily associated with these B shares and is a result of our corporate structure.</w:t>
      </w:r>
    </w:p>
    <w:p>
      <w:pPr>
        <w:spacing w:after="0" w:line="1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7"/>
          <w:szCs w:val="17"/>
          <w:color w:val="auto"/>
        </w:rPr>
        <w:t>On May 5, 2026, we announced that our Board of Directors declared a regular quarterly cash dividend and a special cash dividend to holders of Class A common stock of $0.25 and $0.20 per share, respectively, on May 5, 2026. A comparable distribution of $0.25 per common unit has also been approved to holders of MarketWise, LLC common units. The dividend and distribution will be paid on June 25, 2026. The Record Date is May 15, 2026.</w:t>
      </w:r>
    </w:p>
    <w:p>
      <w:pPr>
        <w:spacing w:after="0" w:line="10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Note that the special dividends referenced above arise from the previously mentioned tax distributions to noncontrolling interests, and represent the proportionate payment to Marketwise, Inc. To the extent the proportionate payment to Marketwise, Inc. exceeds the amounts required for corporate income taxes, any excess may be distributed to Class A shareholders in the form of dividends. Given the mechanical nature of the tax distribution payments, we expect the quarterly special dividends to continue. The amounts, however, may vary.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FY 2026 Targets</w:t>
      </w:r>
    </w:p>
    <w:p>
      <w:pPr>
        <w:spacing w:after="0" w:line="1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strategic plans and initiatives are built around bringing high-quality investing ideas and tools to our customers at a dynamic and volatile time for markets. Our focus will continue to be on delivering high-quality products to our customers, in an efficient manner, which we believe will drive both top line growth and margin expansion. Further, we intend to continue our disciplined approach to capital allocation with a mix of dividends, share repurchases, and prudent investments in our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FY 2026, our reaffirmed targets are as follows:</w:t>
      </w:r>
    </w:p>
    <w:p>
      <w:pPr>
        <w:spacing w:after="0" w:line="164"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of approximately $300 million for FY 2026, which is growth of approximately 10% from FY 2025 Billings.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CFFO of approximately $50 million for FY 2026 which is nearly a 10% YoY increase as compared to FY 2025.</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dividends of $1.80 per share of MarketWise, Inc. Class A common stock.</w:t>
      </w:r>
    </w:p>
    <w:p>
      <w:pPr>
        <w:spacing w:after="0" w:line="164"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8"/>
          <w:szCs w:val="18"/>
          <w:color w:val="auto"/>
        </w:rPr>
        <w:t>These forward-looking targets are based on trends and market conditions as they exist currently, and actual results may differ materially. In the case of dividends, amounts are subject to the ongoing approval by our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MarketWise</w:t>
      </w:r>
    </w:p>
    <w:p>
      <w:pPr>
        <w:spacing w:after="0" w:line="166"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8"/>
          <w:szCs w:val="18"/>
          <w:color w:val="auto"/>
        </w:rPr>
        <w:t>Founded with a mission to level the playing field for self-directed investors, today MarketWise is a leading multi-brand subscription services platform providing premium financial research, software, education, and tools for investors.</w:t>
      </w:r>
    </w:p>
    <w:p>
      <w:pPr>
        <w:spacing w:after="0" w:line="1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more than 25 years of operating history, MarketWise serves a community of millions of free and paid subscribers. MarketWise’s products are a trusted source for high-value financial research, education, actionable investment ideas, and investment software. MarketWise is a 100% digital, direct-to-customer company offering its research across a variety of platforms including mobile, desktops, and tablets. MarketWise has a proven, agile, and scalable platform and our vision is to become the leading financial solutions platform for self-directed investors.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16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In this release we discuss certain key business metrics, which we believe provide useful information about the Company’s business and the operational factors underlying the Company’s financial performance. We are not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2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of any uniform standards for calculating these key metrics, which may hinder comparability with other companies who may calculate similarly titled metrics in a different way.</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are defined as amounts invoiced to customers.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Paid Subscribers </w:t>
      </w:r>
      <w:r>
        <w:rPr>
          <w:rFonts w:ascii="Times New Roman" w:cs="Times New Roman" w:eastAsia="Times New Roman" w:hAnsi="Times New Roman"/>
          <w:sz w:val="18"/>
          <w:szCs w:val="18"/>
          <w:color w:val="auto"/>
        </w:rPr>
        <w:t>are defined as the total number of unique subscribers with at least one paid subscription at the end of the period.</w:t>
      </w:r>
    </w:p>
    <w:p>
      <w:pPr>
        <w:spacing w:after="0" w:line="164" w:lineRule="exact"/>
        <w:rPr>
          <w:sz w:val="20"/>
          <w:szCs w:val="20"/>
          <w:color w:val="auto"/>
        </w:rPr>
      </w:pPr>
    </w:p>
    <w:p>
      <w:pPr>
        <w:ind w:left="320" w:right="2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Active Free Subscribers </w:t>
      </w:r>
      <w:r>
        <w:rPr>
          <w:rFonts w:ascii="Times New Roman" w:cs="Times New Roman" w:eastAsia="Times New Roman" w:hAnsi="Times New Roman"/>
          <w:sz w:val="18"/>
          <w:szCs w:val="18"/>
          <w:color w:val="auto"/>
        </w:rPr>
        <w:t>are unique subscribers who have subscribed to one of our free investment publications via a valid email address and who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and/or consumed our content during the quarter, excluding any Paid Subscribers who also have free subscriptions.</w:t>
      </w:r>
    </w:p>
    <w:p>
      <w:pPr>
        <w:spacing w:after="0" w:line="107" w:lineRule="exact"/>
        <w:rPr>
          <w:sz w:val="20"/>
          <w:szCs w:val="20"/>
          <w:color w:val="auto"/>
        </w:rPr>
      </w:pPr>
    </w:p>
    <w:p>
      <w:pPr>
        <w:ind w:left="320" w:right="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Average revenue per user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ARPU </w:t>
      </w:r>
      <w:r>
        <w:rPr>
          <w:rFonts w:ascii="Times New Roman" w:cs="Times New Roman" w:eastAsia="Times New Roman" w:hAnsi="Times New Roman"/>
          <w:sz w:val="18"/>
          <w:szCs w:val="18"/>
          <w:color w:val="auto"/>
        </w:rPr>
        <w:t>is defined as the trailing four quarters of net Billings</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the average number of quarterly total Paid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that period.</w:t>
      </w:r>
    </w:p>
    <w:p>
      <w:pPr>
        <w:spacing w:after="0" w:line="10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the below non-GAAP financial measures are useful in evaluating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spacing w:after="0" w:line="137"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Management uses these non-GAAP measures internally to evaluate performance and make operating decisions, and we believe they provide a meaningful perspective to investors when used in conjunction with our GAAP results.</w:t>
      </w:r>
    </w:p>
    <w:p>
      <w:pPr>
        <w:spacing w:after="0" w:line="110" w:lineRule="exact"/>
        <w:rPr>
          <w:sz w:val="20"/>
          <w:szCs w:val="20"/>
          <w:color w:val="auto"/>
        </w:rPr>
      </w:pPr>
    </w:p>
    <w:p>
      <w:pPr>
        <w:jc w:val="both"/>
        <w:ind w:right="620"/>
        <w:spacing w:after="0" w:line="259" w:lineRule="auto"/>
        <w:rPr>
          <w:sz w:val="20"/>
          <w:szCs w:val="20"/>
          <w:color w:val="auto"/>
        </w:rPr>
      </w:pPr>
      <w:r>
        <w:rPr>
          <w:rFonts w:ascii="Times New Roman" w:cs="Times New Roman" w:eastAsia="Times New Roman" w:hAnsi="Times New Roman"/>
          <w:sz w:val="18"/>
          <w:szCs w:val="18"/>
          <w:color w:val="auto"/>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Adjusted CFFO </w:t>
      </w:r>
      <w:r>
        <w:rPr>
          <w:rFonts w:ascii="Times New Roman" w:cs="Times New Roman" w:eastAsia="Times New Roman" w:hAnsi="Times New Roman"/>
          <w:sz w:val="18"/>
          <w:szCs w:val="18"/>
          <w:color w:val="auto"/>
        </w:rPr>
        <w:t>is defined as cash flow from operations (“CFFO”) plus or minus any non-recurring items.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Adjusted CFFO Margin </w:t>
      </w:r>
      <w:r>
        <w:rPr>
          <w:rFonts w:ascii="Times New Roman" w:cs="Times New Roman" w:eastAsia="Times New Roman" w:hAnsi="Times New Roman"/>
          <w:sz w:val="18"/>
          <w:szCs w:val="18"/>
          <w:color w:val="auto"/>
        </w:rPr>
        <w:t>is defined as Adjusted CFFO as a percentage of Billings.</w:t>
      </w:r>
    </w:p>
    <w:p>
      <w:pPr>
        <w:spacing w:after="0" w:line="166" w:lineRule="exact"/>
        <w:rPr>
          <w:sz w:val="20"/>
          <w:szCs w:val="20"/>
          <w:color w:val="auto"/>
        </w:rPr>
      </w:pPr>
    </w:p>
    <w:p>
      <w:pPr>
        <w:ind w:left="320" w:right="60"/>
        <w:spacing w:after="0" w:line="274" w:lineRule="auto"/>
        <w:rPr>
          <w:sz w:val="20"/>
          <w:szCs w:val="20"/>
          <w:color w:val="auto"/>
        </w:rPr>
      </w:pPr>
      <w:r>
        <w:rPr>
          <w:rFonts w:ascii="Times New Roman" w:cs="Times New Roman" w:eastAsia="Times New Roman" w:hAnsi="Times New Roman"/>
          <w:sz w:val="18"/>
          <w:szCs w:val="18"/>
          <w:color w:val="auto"/>
        </w:rPr>
        <w:t>We believe that Adjusted CFFO and Adjusted CFFO Margin are useful indicators that provide information to management and investors about our ability to generate cash, and for internal planning and forecasting purposes.</w:t>
      </w:r>
    </w:p>
    <w:p>
      <w:pPr>
        <w:spacing w:after="0" w:line="110" w:lineRule="exact"/>
        <w:rPr>
          <w:sz w:val="20"/>
          <w:szCs w:val="20"/>
          <w:color w:val="auto"/>
        </w:rPr>
      </w:pPr>
    </w:p>
    <w:p>
      <w:pPr>
        <w:ind w:left="320" w:right="220"/>
        <w:spacing w:after="0" w:line="259" w:lineRule="auto"/>
        <w:rPr>
          <w:sz w:val="20"/>
          <w:szCs w:val="20"/>
          <w:color w:val="auto"/>
        </w:rPr>
      </w:pPr>
      <w:r>
        <w:rPr>
          <w:rFonts w:ascii="Times New Roman" w:cs="Times New Roman" w:eastAsia="Times New Roman" w:hAnsi="Times New Roman"/>
          <w:sz w:val="18"/>
          <w:szCs w:val="18"/>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123" w:lineRule="exact"/>
        <w:rPr>
          <w:sz w:val="20"/>
          <w:szCs w:val="20"/>
          <w:color w:val="auto"/>
        </w:rPr>
      </w:pPr>
    </w:p>
    <w:p>
      <w:pPr>
        <w:ind w:left="320" w:right="1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is defined as net cash provided by (used in) operating activities less capital expenditures. We define capital expenditures as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plus capitalized software development costs. Acquisitions are not included in capital expenditures.</w:t>
      </w:r>
    </w:p>
    <w:p>
      <w:pPr>
        <w:spacing w:after="0" w:line="109" w:lineRule="exact"/>
        <w:rPr>
          <w:sz w:val="20"/>
          <w:szCs w:val="20"/>
          <w:color w:val="auto"/>
        </w:rPr>
      </w:pPr>
    </w:p>
    <w:p>
      <w:pPr>
        <w:ind w:left="320" w:right="200"/>
        <w:spacing w:after="0" w:line="274" w:lineRule="auto"/>
        <w:rPr>
          <w:sz w:val="20"/>
          <w:szCs w:val="20"/>
          <w:color w:val="auto"/>
        </w:rPr>
      </w:pPr>
      <w:r>
        <w:rPr>
          <w:rFonts w:ascii="Times New Roman" w:cs="Times New Roman" w:eastAsia="Times New Roman" w:hAnsi="Times New Roman"/>
          <w:sz w:val="18"/>
          <w:szCs w:val="18"/>
          <w:color w:val="auto"/>
        </w:rPr>
        <w:t>We believe Free Cash Flow is a useful indicator that provides information to management and investors about the cash generated by the business that is available for discretionary purposes, such as dividends and strategic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6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The following table provides a reconciliation of net cash provided by (used in) operating activities to Adjusted CFFO, and net cash provided by operating activities margin as a percentage of total net revenue to Adjusted CFFO Margin, net cash provided by (used in) operating activities to Free Cash Flow, in each case, the most directly comparable financial measure calculated in accordance with generally accepted accounting principles in the United States (“GAAP”):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6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6"/>
        </w:trPr>
        <w:tc>
          <w:tcPr>
            <w:tcW w:w="7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i w:val="1"/>
                <w:iCs w:val="1"/>
                <w:color w:val="auto"/>
              </w:rPr>
              <w:t>% Change</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(219.7)%</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77,029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83,507</w:t>
            </w:r>
          </w:p>
        </w:tc>
        <w:tc>
          <w:tcPr>
            <w:tcW w:w="96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i w:val="1"/>
                <w:iCs w:val="1"/>
                <w:color w:val="auto"/>
              </w:rPr>
              <w:t>(7.8)%</w:t>
            </w:r>
          </w:p>
        </w:tc>
      </w:tr>
      <w:tr>
        <w:trPr>
          <w:trHeight w:val="21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5"/>
        </w:trPr>
        <w:tc>
          <w:tcPr>
            <w:tcW w:w="7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1,733</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i w:val="1"/>
                <w:iCs w:val="1"/>
                <w:color w:val="auto"/>
                <w:w w:val="97"/>
              </w:rPr>
              <w:t>(219.7)%</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81,373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70,456</w:t>
            </w:r>
          </w:p>
        </w:tc>
        <w:tc>
          <w:tcPr>
            <w:tcW w:w="96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i w:val="1"/>
                <w:iCs w:val="1"/>
                <w:color w:val="auto"/>
                <w:w w:val="98"/>
              </w:rPr>
              <w:t>15.5%</w:t>
            </w: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212"/>
        </w:trPr>
        <w:tc>
          <w:tcPr>
            <w:tcW w:w="7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1,733</w:t>
            </w:r>
          </w:p>
        </w:tc>
        <w:tc>
          <w:tcPr>
            <w:tcW w:w="9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i w:val="1"/>
                <w:iCs w:val="1"/>
                <w:color w:val="auto"/>
                <w:w w:val="97"/>
              </w:rPr>
              <w:t>(219.7)%</w:t>
            </w:r>
          </w:p>
        </w:tc>
      </w:tr>
      <w:tr>
        <w:trPr>
          <w:trHeight w:val="225"/>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(222)</w:t>
            </w:r>
          </w:p>
        </w:tc>
        <w:tc>
          <w:tcPr>
            <w:tcW w:w="96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i w:val="1"/>
                <w:iCs w:val="1"/>
                <w:color w:val="auto"/>
                <w:w w:val="97"/>
              </w:rPr>
              <w:t>170.3%</w:t>
            </w: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1,511</w:t>
            </w:r>
          </w:p>
        </w:tc>
        <w:tc>
          <w:tcPr>
            <w:tcW w:w="9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i w:val="1"/>
                <w:iCs w:val="1"/>
                <w:color w:val="auto"/>
                <w:w w:val="97"/>
              </w:rPr>
              <w:t>(277.0)%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Not meaningful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statements regarding the financial position, business strategy, and the plans and objectives of management for future operations of MarketWise. These forward-looking statements generally are identified by the words “believe,” “project,” “expect,” “anticipate,” “estimate,” “intend,” “strategy,” “future,” “opportunity,” “plan,” “may,” “should,” “will,” “would,” “will be,” “will continue,” “will likely result,” “target,”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our ability to attract new subscribers and to persuade existing subscribers to renew their subscription agreements with us and to purchase additional products and services from us; our ability to adequately market our products and services, and to develop additional products and product offerings; our ability to manage our growth effectively, including through acquisitions; failure to maintain and protect our reputation for trustworthiness and independence; our ability to attract, develop, and retain capable management, editors, and other key personnel; our ability to grow market share in our existing markets or any new markets we may enter; adverse or weakened conditions in the financial sector, global financial markets, and global economy; current macroeconomic events, including heightened inflation, rise in interest rates and the potential for an economic recession; failure to comply with laws and regulations or other regulatory action or investigations, including the Investment Advisers Act of 1940, as amended; our ability to respond to and adapt to changes in technology and consumer behavior; failure to successfully identify and integrate acquisitions, or dispose of assets and businesses; our public securities’ potential liquidity and trading; the impact of the regulatory environment and complexities with compliance related to such environment; our future capital needs; our ability to maintain an effective system of internal control over financial reporting, and to address and remediate existing material weaknesses in our internal control over financial reporting;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2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foregoing list of factors is not exhaustive. You should carefully consider the foregoing factors and the other risks and uncertainties described in the “Risk Factors” section of our filings with the U.S. Securities and Exchange Commission (the “SEC”). These filings identify and address other important risks and uncertainties that could cause actual events and results to differ materially from those contained in the forward-looking statements.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press release may not occur and actual results could differ materially and adversely from those anticipated.</w:t>
      </w:r>
    </w:p>
    <w:p>
      <w:pPr>
        <w:spacing w:after="0" w:line="13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1. Income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 in thousands, except per share data)</w:t>
            </w: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00" w:type="dxa"/>
            <w:vAlign w:val="bottom"/>
          </w:tcPr>
          <w:p>
            <w:pPr>
              <w:spacing w:after="0"/>
              <w:rPr>
                <w:sz w:val="16"/>
                <w:szCs w:val="16"/>
                <w:color w:val="auto"/>
              </w:rPr>
            </w:pPr>
          </w:p>
        </w:tc>
      </w:tr>
      <w:tr>
        <w:trPr>
          <w:trHeight w:val="24"/>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w:t>
            </w:r>
          </w:p>
        </w:tc>
      </w:tr>
      <w:tr>
        <w:trPr>
          <w:trHeight w:val="225"/>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9"/>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 (1)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r>
      <w:tr>
        <w:trPr>
          <w:trHeight w:val="225"/>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 (1)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w:t>
            </w:r>
          </w:p>
        </w:tc>
      </w:tr>
      <w:tr>
        <w:trPr>
          <w:trHeight w:val="225"/>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r>
      <w:tr>
        <w:trPr>
          <w:trHeight w:val="225"/>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25"/>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5"/>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5"/>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8"/>
        </w:trPr>
        <w:tc>
          <w:tcPr>
            <w:tcW w:w="8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66,727</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1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17,879</w:t>
            </w:r>
          </w:p>
        </w:tc>
      </w:tr>
      <w:tr>
        <w:trPr>
          <w:trHeight w:val="22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1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1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MarketWise, Inc.</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8"/>
        </w:trPr>
        <w:tc>
          <w:tcPr>
            <w:tcW w:w="8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106"/>
        </w:trPr>
        <w:tc>
          <w:tcPr>
            <w:tcW w:w="83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106"/>
        </w:trPr>
        <w:tc>
          <w:tcPr>
            <w:tcW w:w="83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106"/>
        </w:trPr>
        <w:tc>
          <w:tcPr>
            <w:tcW w:w="83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231"/>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20"/>
                <w:szCs w:val="20"/>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r>
    </w:tbl>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2. Balance Sheet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 (unaudited)</w:t>
            </w:r>
          </w:p>
        </w:tc>
        <w:tc>
          <w:tcPr>
            <w:tcW w:w="200" w:type="dxa"/>
            <w:vAlign w:val="bottom"/>
          </w:tcPr>
          <w:p>
            <w:pPr>
              <w:spacing w:after="0"/>
              <w:rPr>
                <w:sz w:val="16"/>
                <w:szCs w:val="16"/>
                <w:color w:val="auto"/>
              </w:rPr>
            </w:pPr>
          </w:p>
        </w:tc>
        <w:tc>
          <w:tcPr>
            <w:tcW w:w="16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5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70,140</w:t>
            </w:r>
          </w:p>
        </w:tc>
        <w:tc>
          <w:tcPr>
            <w:tcW w:w="0" w:type="dxa"/>
            <w:vAlign w:val="bottom"/>
          </w:tcPr>
          <w:p>
            <w:pPr>
              <w:spacing w:after="0"/>
              <w:rPr>
                <w:sz w:val="1"/>
                <w:szCs w:val="1"/>
                <w:color w:val="auto"/>
              </w:rPr>
            </w:pPr>
          </w:p>
        </w:tc>
      </w:tr>
      <w:tr>
        <w:trPr>
          <w:trHeight w:val="191"/>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w:t>
            </w:r>
          </w:p>
        </w:tc>
        <w:tc>
          <w:tcPr>
            <w:tcW w:w="0" w:type="dxa"/>
            <w:vAlign w:val="bottom"/>
          </w:tcPr>
          <w:p>
            <w:pPr>
              <w:spacing w:after="0"/>
              <w:rPr>
                <w:sz w:val="1"/>
                <w:szCs w:val="1"/>
                <w:color w:val="auto"/>
              </w:rPr>
            </w:pPr>
          </w:p>
        </w:tc>
      </w:tr>
      <w:tr>
        <w:trPr>
          <w:trHeight w:val="191"/>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party receivables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43,388</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131,701</w:t>
            </w:r>
          </w:p>
        </w:tc>
        <w:tc>
          <w:tcPr>
            <w:tcW w:w="0" w:type="dxa"/>
            <w:vAlign w:val="bottom"/>
          </w:tcPr>
          <w:p>
            <w:pPr>
              <w:spacing w:after="0"/>
              <w:rPr>
                <w:sz w:val="1"/>
                <w:szCs w:val="1"/>
                <w:color w:val="auto"/>
              </w:rPr>
            </w:pP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0" w:type="dxa"/>
            <w:vAlign w:val="bottom"/>
          </w:tcPr>
          <w:p>
            <w:pPr>
              <w:spacing w:after="0"/>
              <w:rPr>
                <w:sz w:val="1"/>
                <w:szCs w:val="1"/>
                <w:color w:val="auto"/>
              </w:rPr>
            </w:pP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30,043</w:t>
            </w:r>
          </w:p>
        </w:tc>
        <w:tc>
          <w:tcPr>
            <w:tcW w:w="0" w:type="dxa"/>
            <w:vAlign w:val="bottom"/>
          </w:tcPr>
          <w:p>
            <w:pPr>
              <w:spacing w:after="0"/>
              <w:rPr>
                <w:sz w:val="1"/>
                <w:szCs w:val="1"/>
                <w:color w:val="auto"/>
              </w:rPr>
            </w:pP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34,678</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6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11,007</w:t>
            </w:r>
          </w:p>
        </w:tc>
        <w:tc>
          <w:tcPr>
            <w:tcW w:w="0" w:type="dxa"/>
            <w:vAlign w:val="bottom"/>
          </w:tcPr>
          <w:p>
            <w:pPr>
              <w:spacing w:after="0"/>
              <w:rPr>
                <w:sz w:val="1"/>
                <w:szCs w:val="1"/>
                <w:color w:val="auto"/>
              </w:rPr>
            </w:pPr>
          </w:p>
        </w:tc>
      </w:tr>
      <w:tr>
        <w:trPr>
          <w:trHeight w:val="199"/>
        </w:trPr>
        <w:tc>
          <w:tcPr>
            <w:tcW w:w="75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201,916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218,379</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Trade and other payables</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0" w:type="dxa"/>
            <w:vAlign w:val="bottom"/>
          </w:tcPr>
          <w:p>
            <w:pPr>
              <w:spacing w:after="0"/>
              <w:rPr>
                <w:sz w:val="1"/>
                <w:szCs w:val="1"/>
                <w:color w:val="auto"/>
              </w:rPr>
            </w:pPr>
          </w:p>
        </w:tc>
      </w:tr>
      <w:tr>
        <w:trPr>
          <w:trHeight w:val="191"/>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party payables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33,221</w:t>
            </w:r>
          </w:p>
        </w:tc>
        <w:tc>
          <w:tcPr>
            <w:tcW w:w="0" w:type="dxa"/>
            <w:vAlign w:val="bottom"/>
          </w:tcPr>
          <w:p>
            <w:pPr>
              <w:spacing w:after="0"/>
              <w:rPr>
                <w:sz w:val="1"/>
                <w:szCs w:val="1"/>
                <w:color w:val="auto"/>
              </w:rPr>
            </w:pPr>
          </w:p>
        </w:tc>
      </w:tr>
      <w:tr>
        <w:trPr>
          <w:trHeight w:val="191"/>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 and other contract liabilities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183,798</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91"/>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Related party TRA liability, current (Note 10)</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6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0" w:type="dxa"/>
            <w:vAlign w:val="bottom"/>
          </w:tcPr>
          <w:p>
            <w:pPr>
              <w:spacing w:after="0"/>
              <w:rPr>
                <w:sz w:val="1"/>
                <w:szCs w:val="1"/>
                <w:color w:val="auto"/>
              </w:rPr>
            </w:pPr>
          </w:p>
        </w:tc>
      </w:tr>
      <w:tr>
        <w:trPr>
          <w:trHeight w:val="185"/>
        </w:trPr>
        <w:tc>
          <w:tcPr>
            <w:tcW w:w="7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234,204</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and other contract liabilities, noncurrent</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185,754</w:t>
            </w:r>
          </w:p>
        </w:tc>
        <w:tc>
          <w:tcPr>
            <w:tcW w:w="0" w:type="dxa"/>
            <w:vAlign w:val="bottom"/>
          </w:tcPr>
          <w:p>
            <w:pPr>
              <w:spacing w:after="0"/>
              <w:rPr>
                <w:sz w:val="1"/>
                <w:szCs w:val="1"/>
                <w:color w:val="auto"/>
              </w:rPr>
            </w:pP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TRA liability, noncurrent (Note 10)</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6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428,810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432,004</w:t>
            </w:r>
          </w:p>
        </w:tc>
        <w:tc>
          <w:tcPr>
            <w:tcW w:w="0" w:type="dxa"/>
            <w:vAlign w:val="bottom"/>
          </w:tcPr>
          <w:p>
            <w:pPr>
              <w:spacing w:after="0"/>
              <w:rPr>
                <w:sz w:val="1"/>
                <w:szCs w:val="1"/>
                <w:color w:val="auto"/>
              </w:rPr>
            </w:pPr>
          </w:p>
        </w:tc>
      </w:tr>
      <w:tr>
        <w:trPr>
          <w:trHeight w:val="17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52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Common stock - Class A, par value of $0.0001 per share, 47,500,000 shares authorized; 2,533,780 and 2,445,010 shares issued</w:t>
            </w:r>
          </w:p>
        </w:tc>
        <w:tc>
          <w:tcPr>
            <w:tcW w:w="6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outstanding at March 31, 2026 and December 31, 2025, respectively</w:t>
            </w:r>
          </w:p>
        </w:tc>
        <w:tc>
          <w:tcPr>
            <w:tcW w:w="66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520" w:type="dxa"/>
            <w:vAlign w:val="bottom"/>
          </w:tcPr>
          <w:p>
            <w:pPr>
              <w:ind w:left="180"/>
              <w:spacing w:after="0" w:line="137" w:lineRule="exact"/>
              <w:rPr>
                <w:sz w:val="20"/>
                <w:szCs w:val="20"/>
                <w:color w:val="auto"/>
              </w:rPr>
            </w:pPr>
            <w:r>
              <w:rPr>
                <w:rFonts w:ascii="Times New Roman" w:cs="Times New Roman" w:eastAsia="Times New Roman" w:hAnsi="Times New Roman"/>
                <w:sz w:val="14"/>
                <w:szCs w:val="14"/>
                <w:color w:val="auto"/>
              </w:rPr>
              <w:t>Common stock - Class B, par value of $0.0001 per share, 15,000,000 shares authorized; 13,612,641 and 13,612,641 shares</w:t>
            </w:r>
          </w:p>
        </w:tc>
        <w:tc>
          <w:tcPr>
            <w:tcW w:w="6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7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issued and outstanding at March 31, 2026 and December 31, 2025, respectively</w:t>
            </w:r>
          </w:p>
        </w:tc>
        <w:tc>
          <w:tcPr>
            <w:tcW w:w="6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5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Preferred stock - par value of $0.0001 per share, 100,000,000 shares authorized; 0 shares issued and outstanding at March 31,</w:t>
            </w:r>
          </w:p>
        </w:tc>
        <w:tc>
          <w:tcPr>
            <w:tcW w:w="6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2026 and December 31, 2025, respectively</w:t>
            </w:r>
          </w:p>
        </w:tc>
        <w:tc>
          <w:tcPr>
            <w:tcW w:w="66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101,945</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(114,237)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(113,664)</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stockholders’ deficit attributable to MarketWise, Inc.</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(11,682)</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(214,653)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(201,943)</w:t>
            </w:r>
          </w:p>
        </w:tc>
        <w:tc>
          <w:tcPr>
            <w:tcW w:w="0" w:type="dxa"/>
            <w:vAlign w:val="bottom"/>
          </w:tcPr>
          <w:p>
            <w:pPr>
              <w:spacing w:after="0"/>
              <w:rPr>
                <w:sz w:val="1"/>
                <w:szCs w:val="1"/>
                <w:color w:val="auto"/>
              </w:rPr>
            </w:pPr>
          </w:p>
        </w:tc>
      </w:tr>
      <w:tr>
        <w:trPr>
          <w:trHeight w:val="192"/>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6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(226,894)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(213,625)</w:t>
            </w:r>
          </w:p>
        </w:tc>
        <w:tc>
          <w:tcPr>
            <w:tcW w:w="0" w:type="dxa"/>
            <w:vAlign w:val="bottom"/>
          </w:tcPr>
          <w:p>
            <w:pPr>
              <w:spacing w:after="0"/>
              <w:rPr>
                <w:sz w:val="1"/>
                <w:szCs w:val="1"/>
                <w:color w:val="auto"/>
              </w:rPr>
            </w:pPr>
          </w:p>
        </w:tc>
      </w:tr>
      <w:tr>
        <w:trPr>
          <w:trHeight w:val="199"/>
        </w:trPr>
        <w:tc>
          <w:tcPr>
            <w:tcW w:w="75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201,916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218,379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3.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 in thousands)</w:t>
            </w:r>
          </w:p>
        </w:tc>
        <w:tc>
          <w:tcPr>
            <w:tcW w:w="360" w:type="dxa"/>
            <w:vAlign w:val="bottom"/>
          </w:tcPr>
          <w:p>
            <w:pPr>
              <w:spacing w:after="0"/>
              <w:rPr>
                <w:sz w:val="16"/>
                <w:szCs w:val="16"/>
                <w:color w:val="auto"/>
              </w:rPr>
            </w:pPr>
          </w:p>
        </w:tc>
        <w:tc>
          <w:tcPr>
            <w:tcW w:w="282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Year to Date March 31,</w:t>
            </w: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16,841</w:t>
            </w:r>
          </w:p>
        </w:tc>
      </w:tr>
      <w:tr>
        <w:trPr>
          <w:trHeight w:val="20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20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property and equipment, net</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3,141</w:t>
            </w:r>
          </w:p>
        </w:tc>
      </w:tr>
      <w:tr>
        <w:trPr>
          <w:trHeight w:val="20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r>
      <w:tr>
        <w:trPr>
          <w:trHeight w:val="20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gains on foreign currency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gains</w:t>
            </w: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r>
      <w:tr>
        <w:trPr>
          <w:trHeight w:val="20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w:t>
            </w:r>
          </w:p>
        </w:tc>
      </w:tr>
      <w:tr>
        <w:trPr>
          <w:trHeight w:val="191"/>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party receivables and payables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20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1"/>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 and other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20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r>
      <w:tr>
        <w:trPr>
          <w:trHeight w:val="191"/>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Trade and other payables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20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w:t>
            </w:r>
          </w:p>
        </w:tc>
      </w:tr>
      <w:tr>
        <w:trPr>
          <w:trHeight w:val="191"/>
        </w:trPr>
        <w:tc>
          <w:tcPr>
            <w:tcW w:w="8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(11,883)</w:t>
            </w:r>
          </w:p>
        </w:tc>
      </w:tr>
      <w:tr>
        <w:trPr>
          <w:trHeight w:val="20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92"/>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and long-term liabilities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w:t>
            </w:r>
          </w:p>
        </w:tc>
      </w:tr>
      <w:tr>
        <w:trPr>
          <w:trHeight w:val="19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r>
      <w:tr>
        <w:trPr>
          <w:trHeight w:val="17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5"/>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2"/>
        </w:trPr>
        <w:tc>
          <w:tcPr>
            <w:tcW w:w="8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9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7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5"/>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stock</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units withheld to pay taxes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r>
      <w:tr>
        <w:trPr>
          <w:trHeight w:val="20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 to Class A shareholders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r>
      <w:tr>
        <w:trPr>
          <w:trHeight w:val="191"/>
        </w:trPr>
        <w:tc>
          <w:tcPr>
            <w:tcW w:w="8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distributions to noncontrolling interests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(13,502)</w:t>
            </w:r>
          </w:p>
        </w:tc>
      </w:tr>
      <w:tr>
        <w:trPr>
          <w:trHeight w:val="20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distributions to noncontrolling interests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r>
      <w:tr>
        <w:trPr>
          <w:trHeight w:val="185"/>
        </w:trPr>
        <w:tc>
          <w:tcPr>
            <w:tcW w:w="8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(20,209)</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(18,698)</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97,876</w:t>
            </w:r>
          </w:p>
        </w:tc>
      </w:tr>
      <w:tr>
        <w:trPr>
          <w:trHeight w:val="19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79,178</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MarketWise Investor Relations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Mickels – Chief Operating and 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E32E1"/>
        </w:rPr>
        <w:t>ir@marketwise.com</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MarketWise Media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E32E1"/>
        </w:rPr>
        <w:t>media@marketwise.com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lvl>
    <w:lvl w:ilvl="1">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2026-05-07T06:28:38Z</dcterms:created>
  <dcterms:modified xsi:type="dcterms:W3CDTF">2026-05-07T06:28:38Z</dcterms:modified>
</cp:coreProperties>
</file>